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D2" w:rsidRPr="00185A4B" w:rsidRDefault="00867AD2" w:rsidP="00E802DC">
      <w:pPr>
        <w:jc w:val="center"/>
        <w:rPr>
          <w:b/>
          <w:sz w:val="32"/>
          <w:szCs w:val="32"/>
        </w:rPr>
      </w:pPr>
      <w:r w:rsidRPr="00185A4B">
        <w:rPr>
          <w:b/>
          <w:sz w:val="32"/>
          <w:szCs w:val="32"/>
        </w:rPr>
        <w:t>Terms of Reference:</w:t>
      </w:r>
    </w:p>
    <w:p w:rsidR="0098784A" w:rsidRPr="00185A4B" w:rsidRDefault="00E802DC" w:rsidP="00E802DC">
      <w:pPr>
        <w:jc w:val="center"/>
        <w:rPr>
          <w:b/>
          <w:sz w:val="32"/>
          <w:szCs w:val="32"/>
        </w:rPr>
      </w:pPr>
      <w:r w:rsidRPr="00185A4B">
        <w:rPr>
          <w:b/>
          <w:sz w:val="32"/>
          <w:szCs w:val="32"/>
        </w:rPr>
        <w:t xml:space="preserve">Building an ASVET Community of Best Practice </w:t>
      </w:r>
    </w:p>
    <w:p w:rsidR="007D505C" w:rsidRPr="00185A4B" w:rsidRDefault="00E802DC" w:rsidP="00E802DC">
      <w:pPr>
        <w:jc w:val="center"/>
        <w:rPr>
          <w:b/>
          <w:sz w:val="32"/>
          <w:szCs w:val="32"/>
        </w:rPr>
      </w:pPr>
      <w:r w:rsidRPr="00185A4B">
        <w:rPr>
          <w:b/>
          <w:sz w:val="32"/>
          <w:szCs w:val="32"/>
        </w:rPr>
        <w:t xml:space="preserve">(ASVET </w:t>
      </w:r>
      <w:proofErr w:type="spellStart"/>
      <w:r w:rsidRPr="00185A4B">
        <w:rPr>
          <w:b/>
          <w:sz w:val="32"/>
          <w:szCs w:val="32"/>
        </w:rPr>
        <w:t>Co</w:t>
      </w:r>
      <w:r w:rsidR="00867AD2" w:rsidRPr="00185A4B">
        <w:rPr>
          <w:b/>
          <w:sz w:val="32"/>
          <w:szCs w:val="32"/>
        </w:rPr>
        <w:t>B</w:t>
      </w:r>
      <w:r w:rsidRPr="00185A4B">
        <w:rPr>
          <w:b/>
          <w:sz w:val="32"/>
          <w:szCs w:val="32"/>
        </w:rPr>
        <w:t>P</w:t>
      </w:r>
      <w:proofErr w:type="spellEnd"/>
      <w:r w:rsidRPr="00185A4B">
        <w:rPr>
          <w:b/>
          <w:sz w:val="32"/>
          <w:szCs w:val="32"/>
        </w:rPr>
        <w:t>)</w:t>
      </w:r>
      <w:r w:rsidR="007D505C" w:rsidRPr="00185A4B">
        <w:rPr>
          <w:b/>
          <w:sz w:val="32"/>
          <w:szCs w:val="32"/>
        </w:rPr>
        <w:t xml:space="preserve">   </w:t>
      </w:r>
    </w:p>
    <w:p w:rsidR="00E802DC" w:rsidRPr="00185A4B" w:rsidRDefault="00E802DC" w:rsidP="00E802DC">
      <w:pPr>
        <w:rPr>
          <w:b/>
          <w:sz w:val="24"/>
          <w:szCs w:val="24"/>
        </w:rPr>
      </w:pPr>
      <w:r w:rsidRPr="00185A4B">
        <w:rPr>
          <w:b/>
          <w:sz w:val="24"/>
          <w:szCs w:val="24"/>
        </w:rPr>
        <w:t>Purpose:</w:t>
      </w:r>
    </w:p>
    <w:p w:rsidR="00E802DC" w:rsidRPr="00185A4B" w:rsidRDefault="00E802DC" w:rsidP="00E802DC">
      <w:pPr>
        <w:rPr>
          <w:sz w:val="24"/>
          <w:szCs w:val="24"/>
        </w:rPr>
      </w:pPr>
      <w:r w:rsidRPr="00185A4B">
        <w:rPr>
          <w:sz w:val="24"/>
          <w:szCs w:val="24"/>
        </w:rPr>
        <w:t>To create a structure that allows representatives of RTOs and ASRC involved in the ASVET Program 2016-2018 to come together to promote best practice, learn from each other and network.</w:t>
      </w:r>
    </w:p>
    <w:p w:rsidR="00E802DC" w:rsidRPr="00185A4B" w:rsidRDefault="00E802DC" w:rsidP="00E802DC">
      <w:pPr>
        <w:rPr>
          <w:sz w:val="24"/>
          <w:szCs w:val="24"/>
        </w:rPr>
      </w:pPr>
      <w:r w:rsidRPr="00185A4B">
        <w:rPr>
          <w:sz w:val="24"/>
          <w:szCs w:val="24"/>
        </w:rPr>
        <w:t xml:space="preserve">The ASVET </w:t>
      </w:r>
      <w:proofErr w:type="spellStart"/>
      <w:r w:rsidRPr="00185A4B">
        <w:rPr>
          <w:sz w:val="24"/>
          <w:szCs w:val="24"/>
        </w:rPr>
        <w:t>Co</w:t>
      </w:r>
      <w:r w:rsidR="00867AD2" w:rsidRPr="00185A4B">
        <w:rPr>
          <w:sz w:val="24"/>
          <w:szCs w:val="24"/>
        </w:rPr>
        <w:t>B</w:t>
      </w:r>
      <w:r w:rsidRPr="00185A4B">
        <w:rPr>
          <w:sz w:val="24"/>
          <w:szCs w:val="24"/>
        </w:rPr>
        <w:t>P</w:t>
      </w:r>
      <w:proofErr w:type="spellEnd"/>
      <w:r w:rsidRPr="00185A4B">
        <w:rPr>
          <w:sz w:val="24"/>
          <w:szCs w:val="24"/>
        </w:rPr>
        <w:t xml:space="preserve"> will provide a forum </w:t>
      </w:r>
      <w:r w:rsidR="001D2B9F">
        <w:rPr>
          <w:sz w:val="24"/>
          <w:szCs w:val="24"/>
        </w:rPr>
        <w:t xml:space="preserve">to establish benchmark </w:t>
      </w:r>
      <w:r w:rsidR="00D81065">
        <w:rPr>
          <w:sz w:val="24"/>
          <w:szCs w:val="24"/>
        </w:rPr>
        <w:t>defin</w:t>
      </w:r>
      <w:r w:rsidR="001D2B9F">
        <w:rPr>
          <w:sz w:val="24"/>
          <w:szCs w:val="24"/>
        </w:rPr>
        <w:t xml:space="preserve">itions for </w:t>
      </w:r>
      <w:r w:rsidR="00D81065">
        <w:rPr>
          <w:sz w:val="24"/>
          <w:szCs w:val="24"/>
        </w:rPr>
        <w:t>best practice</w:t>
      </w:r>
      <w:r w:rsidR="001D2B9F">
        <w:rPr>
          <w:sz w:val="24"/>
          <w:szCs w:val="24"/>
        </w:rPr>
        <w:t xml:space="preserve"> in providing education and training for people seeking asylum and refugees</w:t>
      </w:r>
      <w:r w:rsidR="00B401CB">
        <w:rPr>
          <w:sz w:val="24"/>
          <w:szCs w:val="24"/>
        </w:rPr>
        <w:t>;</w:t>
      </w:r>
      <w:r w:rsidRPr="00185A4B">
        <w:rPr>
          <w:sz w:val="24"/>
          <w:szCs w:val="24"/>
        </w:rPr>
        <w:t xml:space="preserve"> </w:t>
      </w:r>
      <w:r w:rsidR="00D81065">
        <w:rPr>
          <w:sz w:val="24"/>
          <w:szCs w:val="24"/>
        </w:rPr>
        <w:t>identifying strategies to address existing and emergent challenges/issues</w:t>
      </w:r>
      <w:r w:rsidR="001D2B9F">
        <w:rPr>
          <w:sz w:val="24"/>
          <w:szCs w:val="24"/>
        </w:rPr>
        <w:t xml:space="preserve"> In addition the </w:t>
      </w:r>
      <w:proofErr w:type="spellStart"/>
      <w:r w:rsidR="001D2B9F">
        <w:rPr>
          <w:sz w:val="24"/>
          <w:szCs w:val="24"/>
        </w:rPr>
        <w:t>CoBP</w:t>
      </w:r>
      <w:proofErr w:type="spellEnd"/>
      <w:r w:rsidR="001D2B9F">
        <w:rPr>
          <w:sz w:val="24"/>
          <w:szCs w:val="24"/>
        </w:rPr>
        <w:t xml:space="preserve"> will aim </w:t>
      </w:r>
      <w:proofErr w:type="gramStart"/>
      <w:r w:rsidR="001D2B9F">
        <w:rPr>
          <w:sz w:val="24"/>
          <w:szCs w:val="24"/>
        </w:rPr>
        <w:t xml:space="preserve">to </w:t>
      </w:r>
      <w:r w:rsidR="00D81065">
        <w:rPr>
          <w:sz w:val="24"/>
          <w:szCs w:val="24"/>
        </w:rPr>
        <w:t xml:space="preserve"> </w:t>
      </w:r>
      <w:r w:rsidR="001D2B9F">
        <w:rPr>
          <w:sz w:val="24"/>
          <w:szCs w:val="24"/>
        </w:rPr>
        <w:t>implement</w:t>
      </w:r>
      <w:proofErr w:type="gramEnd"/>
      <w:r w:rsidR="00D81065">
        <w:rPr>
          <w:sz w:val="24"/>
          <w:szCs w:val="24"/>
        </w:rPr>
        <w:t xml:space="preserve"> opportunities to</w:t>
      </w:r>
      <w:r w:rsidR="001D2B9F">
        <w:rPr>
          <w:sz w:val="24"/>
          <w:szCs w:val="24"/>
        </w:rPr>
        <w:t xml:space="preserve"> </w:t>
      </w:r>
      <w:r w:rsidR="00D81065">
        <w:rPr>
          <w:sz w:val="24"/>
          <w:szCs w:val="24"/>
        </w:rPr>
        <w:t>network</w:t>
      </w:r>
      <w:r w:rsidR="001D2B9F">
        <w:rPr>
          <w:sz w:val="24"/>
          <w:szCs w:val="24"/>
        </w:rPr>
        <w:t>, s</w:t>
      </w:r>
      <w:r w:rsidR="00D81065">
        <w:rPr>
          <w:sz w:val="24"/>
          <w:szCs w:val="24"/>
        </w:rPr>
        <w:t>hare</w:t>
      </w:r>
      <w:r w:rsidR="001D2B9F">
        <w:rPr>
          <w:sz w:val="24"/>
          <w:szCs w:val="24"/>
        </w:rPr>
        <w:t xml:space="preserve"> stories </w:t>
      </w:r>
      <w:r w:rsidR="00B401CB">
        <w:rPr>
          <w:sz w:val="24"/>
          <w:szCs w:val="24"/>
        </w:rPr>
        <w:t xml:space="preserve"> initiatives and resources </w:t>
      </w:r>
      <w:r w:rsidR="00D81065">
        <w:rPr>
          <w:sz w:val="24"/>
          <w:szCs w:val="24"/>
        </w:rPr>
        <w:t xml:space="preserve">that </w:t>
      </w:r>
      <w:r w:rsidRPr="00185A4B">
        <w:rPr>
          <w:sz w:val="24"/>
          <w:szCs w:val="24"/>
        </w:rPr>
        <w:t xml:space="preserve">focus </w:t>
      </w:r>
      <w:r w:rsidR="00D81065">
        <w:rPr>
          <w:sz w:val="24"/>
          <w:szCs w:val="24"/>
        </w:rPr>
        <w:t>on</w:t>
      </w:r>
      <w:r w:rsidRPr="00185A4B">
        <w:rPr>
          <w:sz w:val="24"/>
          <w:szCs w:val="24"/>
        </w:rPr>
        <w:t xml:space="preserve"> </w:t>
      </w:r>
      <w:r w:rsidR="001D2B9F">
        <w:rPr>
          <w:sz w:val="24"/>
          <w:szCs w:val="24"/>
        </w:rPr>
        <w:t xml:space="preserve">identifying and establishing a model </w:t>
      </w:r>
      <w:r w:rsidR="00673BE1">
        <w:rPr>
          <w:sz w:val="24"/>
          <w:szCs w:val="24"/>
        </w:rPr>
        <w:t>of</w:t>
      </w:r>
      <w:r w:rsidR="001D2B9F">
        <w:rPr>
          <w:sz w:val="24"/>
          <w:szCs w:val="24"/>
        </w:rPr>
        <w:t xml:space="preserve"> continuous improvement</w:t>
      </w:r>
      <w:r w:rsidRPr="00185A4B">
        <w:rPr>
          <w:sz w:val="24"/>
          <w:szCs w:val="24"/>
        </w:rPr>
        <w:t xml:space="preserve"> </w:t>
      </w:r>
      <w:r w:rsidR="00D81065">
        <w:rPr>
          <w:sz w:val="24"/>
          <w:szCs w:val="24"/>
        </w:rPr>
        <w:t>best</w:t>
      </w:r>
      <w:r w:rsidRPr="00185A4B">
        <w:rPr>
          <w:sz w:val="24"/>
          <w:szCs w:val="24"/>
        </w:rPr>
        <w:t xml:space="preserve"> practice. </w:t>
      </w:r>
    </w:p>
    <w:p w:rsidR="00E802DC" w:rsidRPr="00185A4B" w:rsidRDefault="00D81065" w:rsidP="00E802DC">
      <w:pPr>
        <w:rPr>
          <w:sz w:val="24"/>
          <w:szCs w:val="24"/>
        </w:rPr>
      </w:pPr>
      <w:r>
        <w:rPr>
          <w:sz w:val="24"/>
          <w:szCs w:val="24"/>
        </w:rPr>
        <w:t xml:space="preserve">The ASVET </w:t>
      </w:r>
      <w:proofErr w:type="spellStart"/>
      <w:r>
        <w:rPr>
          <w:sz w:val="24"/>
          <w:szCs w:val="24"/>
        </w:rPr>
        <w:t>CoBP</w:t>
      </w:r>
      <w:proofErr w:type="spellEnd"/>
      <w:r>
        <w:rPr>
          <w:sz w:val="24"/>
          <w:szCs w:val="24"/>
        </w:rPr>
        <w:t xml:space="preserve"> </w:t>
      </w:r>
      <w:r w:rsidR="00E802DC" w:rsidRPr="00185A4B">
        <w:rPr>
          <w:sz w:val="24"/>
          <w:szCs w:val="24"/>
        </w:rPr>
        <w:t xml:space="preserve">will also assist in identifying linkages and opportunities for collaboration on </w:t>
      </w:r>
      <w:r>
        <w:rPr>
          <w:sz w:val="24"/>
          <w:szCs w:val="24"/>
        </w:rPr>
        <w:t xml:space="preserve">new </w:t>
      </w:r>
      <w:r w:rsidR="00E802DC" w:rsidRPr="00185A4B">
        <w:rPr>
          <w:sz w:val="24"/>
          <w:szCs w:val="24"/>
        </w:rPr>
        <w:t xml:space="preserve">projects and </w:t>
      </w:r>
      <w:r w:rsidR="00B401CB">
        <w:rPr>
          <w:sz w:val="24"/>
          <w:szCs w:val="24"/>
        </w:rPr>
        <w:t xml:space="preserve">shared </w:t>
      </w:r>
      <w:r w:rsidR="00E802DC" w:rsidRPr="00185A4B">
        <w:rPr>
          <w:sz w:val="24"/>
          <w:szCs w:val="24"/>
        </w:rPr>
        <w:t>initiatives</w:t>
      </w:r>
      <w:r w:rsidR="00B401CB">
        <w:rPr>
          <w:sz w:val="24"/>
          <w:szCs w:val="24"/>
        </w:rPr>
        <w:t>.  These</w:t>
      </w:r>
      <w:r>
        <w:rPr>
          <w:sz w:val="24"/>
          <w:szCs w:val="24"/>
        </w:rPr>
        <w:t xml:space="preserve"> </w:t>
      </w:r>
      <w:r w:rsidR="00B401CB">
        <w:rPr>
          <w:sz w:val="24"/>
          <w:szCs w:val="24"/>
        </w:rPr>
        <w:t>projects/</w:t>
      </w:r>
      <w:r>
        <w:rPr>
          <w:sz w:val="24"/>
          <w:szCs w:val="24"/>
        </w:rPr>
        <w:t xml:space="preserve">initiatives will </w:t>
      </w:r>
      <w:r w:rsidR="00B401CB">
        <w:rPr>
          <w:sz w:val="24"/>
          <w:szCs w:val="24"/>
        </w:rPr>
        <w:t xml:space="preserve">aim to raise </w:t>
      </w:r>
      <w:r>
        <w:rPr>
          <w:sz w:val="24"/>
          <w:szCs w:val="24"/>
        </w:rPr>
        <w:t>awar</w:t>
      </w:r>
      <w:r w:rsidR="00673BE1">
        <w:rPr>
          <w:sz w:val="24"/>
          <w:szCs w:val="24"/>
        </w:rPr>
        <w:t>eness and increase practitioner</w:t>
      </w:r>
      <w:r>
        <w:rPr>
          <w:sz w:val="24"/>
          <w:szCs w:val="24"/>
        </w:rPr>
        <w:t xml:space="preserve"> knowledge and understanding of </w:t>
      </w:r>
      <w:r w:rsidR="00B401CB">
        <w:rPr>
          <w:sz w:val="24"/>
          <w:szCs w:val="24"/>
        </w:rPr>
        <w:t xml:space="preserve">the specific </w:t>
      </w:r>
      <w:r>
        <w:rPr>
          <w:sz w:val="24"/>
          <w:szCs w:val="24"/>
        </w:rPr>
        <w:t xml:space="preserve">education and training </w:t>
      </w:r>
      <w:r w:rsidR="00B401CB">
        <w:rPr>
          <w:sz w:val="24"/>
          <w:szCs w:val="24"/>
        </w:rPr>
        <w:t>needs of people seeking asylum and refugees.</w:t>
      </w:r>
    </w:p>
    <w:p w:rsidR="00E802DC" w:rsidRPr="00185A4B" w:rsidRDefault="00FF5765" w:rsidP="00E802DC">
      <w:pPr>
        <w:rPr>
          <w:b/>
          <w:sz w:val="24"/>
          <w:szCs w:val="24"/>
        </w:rPr>
      </w:pPr>
      <w:r w:rsidRPr="00185A4B">
        <w:rPr>
          <w:b/>
          <w:sz w:val="24"/>
          <w:szCs w:val="24"/>
        </w:rPr>
        <w:t>Representation: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765" w:rsidRPr="00185A4B" w:rsidTr="00FF5765">
        <w:tc>
          <w:tcPr>
            <w:tcW w:w="4675" w:type="dxa"/>
          </w:tcPr>
          <w:p w:rsidR="00FF5765" w:rsidRPr="00185A4B" w:rsidRDefault="00FF5765" w:rsidP="00FF5765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>ASRC ( host organisation)</w:t>
            </w:r>
          </w:p>
        </w:tc>
        <w:tc>
          <w:tcPr>
            <w:tcW w:w="4675" w:type="dxa"/>
          </w:tcPr>
          <w:p w:rsidR="00FF5765" w:rsidRPr="00185A4B" w:rsidRDefault="00FF5765" w:rsidP="00E802D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>2 representatives</w:t>
            </w:r>
          </w:p>
        </w:tc>
      </w:tr>
      <w:tr w:rsidR="00185A4B" w:rsidRPr="00185A4B" w:rsidTr="00FF5765">
        <w:tc>
          <w:tcPr>
            <w:tcW w:w="4675" w:type="dxa"/>
          </w:tcPr>
          <w:p w:rsidR="00185A4B" w:rsidRPr="00185A4B" w:rsidRDefault="00185A4B" w:rsidP="00FF5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 </w:t>
            </w:r>
          </w:p>
        </w:tc>
        <w:tc>
          <w:tcPr>
            <w:tcW w:w="4675" w:type="dxa"/>
          </w:tcPr>
          <w:p w:rsidR="00185A4B" w:rsidRPr="00185A4B" w:rsidRDefault="00185A4B" w:rsidP="00E8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representative</w:t>
            </w:r>
          </w:p>
        </w:tc>
      </w:tr>
      <w:tr w:rsidR="00185A4B" w:rsidRPr="00185A4B" w:rsidTr="00FF5765">
        <w:tc>
          <w:tcPr>
            <w:tcW w:w="4675" w:type="dxa"/>
          </w:tcPr>
          <w:p w:rsidR="00185A4B" w:rsidRPr="00185A4B" w:rsidRDefault="00185A4B" w:rsidP="00FF5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TAFE Victoria</w:t>
            </w:r>
          </w:p>
        </w:tc>
        <w:tc>
          <w:tcPr>
            <w:tcW w:w="4675" w:type="dxa"/>
          </w:tcPr>
          <w:p w:rsidR="00185A4B" w:rsidRPr="00185A4B" w:rsidRDefault="00185A4B" w:rsidP="00E8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representative</w:t>
            </w:r>
          </w:p>
        </w:tc>
      </w:tr>
      <w:tr w:rsidR="00FF5765" w:rsidRPr="00185A4B" w:rsidTr="00FF5765">
        <w:tc>
          <w:tcPr>
            <w:tcW w:w="4675" w:type="dxa"/>
          </w:tcPr>
          <w:p w:rsidR="00FF5765" w:rsidRPr="00185A4B" w:rsidRDefault="00FF5765" w:rsidP="00E802D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>TAFE Sector</w:t>
            </w:r>
          </w:p>
        </w:tc>
        <w:tc>
          <w:tcPr>
            <w:tcW w:w="4675" w:type="dxa"/>
          </w:tcPr>
          <w:p w:rsidR="00FF5765" w:rsidRPr="00185A4B" w:rsidRDefault="007D505C" w:rsidP="00E802D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>4</w:t>
            </w:r>
            <w:r w:rsidR="00FF5765" w:rsidRPr="00185A4B">
              <w:rPr>
                <w:b/>
                <w:sz w:val="24"/>
                <w:szCs w:val="24"/>
              </w:rPr>
              <w:t xml:space="preserve"> representatives</w:t>
            </w:r>
          </w:p>
        </w:tc>
      </w:tr>
      <w:tr w:rsidR="00FF5765" w:rsidRPr="00185A4B" w:rsidTr="00FF5765">
        <w:tc>
          <w:tcPr>
            <w:tcW w:w="4675" w:type="dxa"/>
          </w:tcPr>
          <w:p w:rsidR="00FF5765" w:rsidRPr="00185A4B" w:rsidRDefault="00FF5765" w:rsidP="00E802D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>Private RTOs</w:t>
            </w:r>
          </w:p>
        </w:tc>
        <w:tc>
          <w:tcPr>
            <w:tcW w:w="4675" w:type="dxa"/>
          </w:tcPr>
          <w:p w:rsidR="00FF5765" w:rsidRPr="00185A4B" w:rsidRDefault="007D505C" w:rsidP="007D505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>1</w:t>
            </w:r>
            <w:r w:rsidR="00FF5765" w:rsidRPr="00185A4B">
              <w:rPr>
                <w:b/>
                <w:sz w:val="24"/>
                <w:szCs w:val="24"/>
              </w:rPr>
              <w:t xml:space="preserve"> representative</w:t>
            </w:r>
          </w:p>
        </w:tc>
      </w:tr>
      <w:tr w:rsidR="00FF5765" w:rsidRPr="00185A4B" w:rsidTr="00FF5765">
        <w:tc>
          <w:tcPr>
            <w:tcW w:w="4675" w:type="dxa"/>
          </w:tcPr>
          <w:p w:rsidR="00FF5765" w:rsidRPr="00185A4B" w:rsidRDefault="00FF5765" w:rsidP="00E802D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 xml:space="preserve">Learn Locals </w:t>
            </w:r>
          </w:p>
        </w:tc>
        <w:tc>
          <w:tcPr>
            <w:tcW w:w="4675" w:type="dxa"/>
          </w:tcPr>
          <w:p w:rsidR="00FF5765" w:rsidRPr="00185A4B" w:rsidRDefault="007D505C" w:rsidP="00E802D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>2</w:t>
            </w:r>
            <w:r w:rsidR="00FF5765" w:rsidRPr="00185A4B">
              <w:rPr>
                <w:b/>
                <w:sz w:val="24"/>
                <w:szCs w:val="24"/>
              </w:rPr>
              <w:t xml:space="preserve"> representatives</w:t>
            </w:r>
          </w:p>
        </w:tc>
      </w:tr>
      <w:tr w:rsidR="00FF5765" w:rsidRPr="00185A4B" w:rsidTr="00FF5765">
        <w:tc>
          <w:tcPr>
            <w:tcW w:w="4675" w:type="dxa"/>
          </w:tcPr>
          <w:p w:rsidR="00FF5765" w:rsidRPr="00185A4B" w:rsidRDefault="007D505C" w:rsidP="00E802D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>Co-opted member</w:t>
            </w:r>
          </w:p>
        </w:tc>
        <w:tc>
          <w:tcPr>
            <w:tcW w:w="4675" w:type="dxa"/>
          </w:tcPr>
          <w:p w:rsidR="00FF5765" w:rsidRPr="00185A4B" w:rsidRDefault="00FF5765" w:rsidP="00E802DC">
            <w:pPr>
              <w:rPr>
                <w:b/>
                <w:sz w:val="24"/>
                <w:szCs w:val="24"/>
              </w:rPr>
            </w:pPr>
            <w:r w:rsidRPr="00185A4B">
              <w:rPr>
                <w:b/>
                <w:sz w:val="24"/>
                <w:szCs w:val="24"/>
              </w:rPr>
              <w:t xml:space="preserve">As required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2D0C" w:rsidRDefault="00462D0C" w:rsidP="00E802DC">
      <w:pPr>
        <w:rPr>
          <w:b/>
          <w:sz w:val="24"/>
          <w:szCs w:val="24"/>
        </w:rPr>
      </w:pPr>
    </w:p>
    <w:p w:rsidR="00FF5765" w:rsidRPr="00185A4B" w:rsidRDefault="00FF5765" w:rsidP="00E802DC">
      <w:pPr>
        <w:rPr>
          <w:b/>
          <w:sz w:val="24"/>
          <w:szCs w:val="24"/>
        </w:rPr>
      </w:pPr>
      <w:r w:rsidRPr="00185A4B">
        <w:rPr>
          <w:b/>
          <w:sz w:val="24"/>
          <w:szCs w:val="24"/>
        </w:rPr>
        <w:t>Terms of Reference:</w:t>
      </w:r>
    </w:p>
    <w:p w:rsidR="00FF5765" w:rsidRPr="00185A4B" w:rsidRDefault="00FF5765" w:rsidP="00FF57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A4B">
        <w:rPr>
          <w:sz w:val="24"/>
          <w:szCs w:val="24"/>
        </w:rPr>
        <w:t>To provide a structure that allows for the promotion of best practice</w:t>
      </w:r>
      <w:r w:rsidR="00B401CB">
        <w:rPr>
          <w:sz w:val="24"/>
          <w:szCs w:val="24"/>
        </w:rPr>
        <w:t>.</w:t>
      </w:r>
    </w:p>
    <w:p w:rsidR="00FF5765" w:rsidRPr="00185A4B" w:rsidRDefault="00FF5765" w:rsidP="00FF57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A4B">
        <w:rPr>
          <w:sz w:val="24"/>
          <w:szCs w:val="24"/>
        </w:rPr>
        <w:t>To share initiatives, challenges and responses</w:t>
      </w:r>
      <w:r w:rsidR="0098784A" w:rsidRPr="00185A4B">
        <w:rPr>
          <w:sz w:val="24"/>
          <w:szCs w:val="24"/>
        </w:rPr>
        <w:t xml:space="preserve"> that lead to best practice outcomes</w:t>
      </w:r>
      <w:r w:rsidR="00B401CB">
        <w:rPr>
          <w:sz w:val="24"/>
          <w:szCs w:val="24"/>
        </w:rPr>
        <w:t>.</w:t>
      </w:r>
    </w:p>
    <w:p w:rsidR="0098784A" w:rsidRPr="00185A4B" w:rsidRDefault="0098784A" w:rsidP="00FF57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A4B">
        <w:rPr>
          <w:sz w:val="24"/>
          <w:szCs w:val="24"/>
        </w:rPr>
        <w:t>To identify opportunities for collaboration on projects and new initiatives</w:t>
      </w:r>
      <w:r w:rsidR="00B401CB">
        <w:rPr>
          <w:sz w:val="24"/>
          <w:szCs w:val="24"/>
        </w:rPr>
        <w:t>.</w:t>
      </w:r>
    </w:p>
    <w:p w:rsidR="0098784A" w:rsidRPr="00185A4B" w:rsidRDefault="0098784A" w:rsidP="00FF57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5A4B">
        <w:rPr>
          <w:sz w:val="24"/>
          <w:szCs w:val="24"/>
        </w:rPr>
        <w:t>To report on progress and developments and to build networks</w:t>
      </w:r>
      <w:r w:rsidR="00B401CB">
        <w:rPr>
          <w:sz w:val="24"/>
          <w:szCs w:val="24"/>
        </w:rPr>
        <w:t>.</w:t>
      </w:r>
    </w:p>
    <w:p w:rsidR="00FF5765" w:rsidRDefault="00D81065" w:rsidP="00E802DC">
      <w:pPr>
        <w:rPr>
          <w:sz w:val="24"/>
          <w:szCs w:val="24"/>
        </w:rPr>
      </w:pPr>
      <w:r>
        <w:rPr>
          <w:sz w:val="24"/>
          <w:szCs w:val="24"/>
        </w:rPr>
        <w:t>In the establishment phase</w:t>
      </w:r>
      <w:r w:rsidR="00B40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98784A" w:rsidRPr="00185A4B">
        <w:rPr>
          <w:sz w:val="24"/>
          <w:szCs w:val="24"/>
        </w:rPr>
        <w:t xml:space="preserve">ASRC will </w:t>
      </w:r>
      <w:r w:rsidR="009E04CA" w:rsidRPr="00185A4B">
        <w:rPr>
          <w:sz w:val="24"/>
          <w:szCs w:val="24"/>
        </w:rPr>
        <w:t>act as</w:t>
      </w:r>
      <w:r w:rsidR="0098784A" w:rsidRPr="00185A4B">
        <w:rPr>
          <w:sz w:val="24"/>
          <w:szCs w:val="24"/>
        </w:rPr>
        <w:t xml:space="preserve"> the secretariat of the ASVET </w:t>
      </w:r>
      <w:proofErr w:type="spellStart"/>
      <w:r w:rsidR="0098784A" w:rsidRPr="00185A4B">
        <w:rPr>
          <w:sz w:val="24"/>
          <w:szCs w:val="24"/>
        </w:rPr>
        <w:t>Co</w:t>
      </w:r>
      <w:r w:rsidR="00867AD2" w:rsidRPr="00185A4B">
        <w:rPr>
          <w:sz w:val="24"/>
          <w:szCs w:val="24"/>
        </w:rPr>
        <w:t>B</w:t>
      </w:r>
      <w:r w:rsidR="0098784A" w:rsidRPr="00185A4B">
        <w:rPr>
          <w:sz w:val="24"/>
          <w:szCs w:val="24"/>
        </w:rPr>
        <w:t>P</w:t>
      </w:r>
      <w:proofErr w:type="spellEnd"/>
      <w:r w:rsidR="00B401CB">
        <w:rPr>
          <w:sz w:val="24"/>
          <w:szCs w:val="24"/>
        </w:rPr>
        <w:t xml:space="preserve">. This role </w:t>
      </w:r>
      <w:r w:rsidR="0098784A" w:rsidRPr="00185A4B">
        <w:rPr>
          <w:sz w:val="24"/>
          <w:szCs w:val="24"/>
        </w:rPr>
        <w:t xml:space="preserve">will include hosting the meetings, distributing the minutes and </w:t>
      </w:r>
      <w:r w:rsidR="00867AD2" w:rsidRPr="00185A4B">
        <w:rPr>
          <w:sz w:val="24"/>
          <w:szCs w:val="24"/>
        </w:rPr>
        <w:t>a</w:t>
      </w:r>
      <w:r w:rsidR="0098784A" w:rsidRPr="00185A4B">
        <w:rPr>
          <w:sz w:val="24"/>
          <w:szCs w:val="24"/>
        </w:rPr>
        <w:t>ctions</w:t>
      </w:r>
      <w:r w:rsidR="00867AD2" w:rsidRPr="00185A4B">
        <w:rPr>
          <w:sz w:val="24"/>
          <w:szCs w:val="24"/>
        </w:rPr>
        <w:t xml:space="preserve"> </w:t>
      </w:r>
      <w:r w:rsidR="0098784A" w:rsidRPr="00185A4B">
        <w:rPr>
          <w:sz w:val="24"/>
          <w:szCs w:val="24"/>
        </w:rPr>
        <w:t>arising from meetings and uploading relevant information on to the ASVET ASRC webpage.</w:t>
      </w:r>
    </w:p>
    <w:sectPr w:rsidR="00FF5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E1" w:rsidRDefault="00673BE1" w:rsidP="007D505C">
      <w:pPr>
        <w:spacing w:after="0" w:line="240" w:lineRule="auto"/>
      </w:pPr>
      <w:r>
        <w:separator/>
      </w:r>
    </w:p>
  </w:endnote>
  <w:endnote w:type="continuationSeparator" w:id="0">
    <w:p w:rsidR="00673BE1" w:rsidRDefault="00673BE1" w:rsidP="007D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7B" w:rsidRDefault="00D16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E1" w:rsidRDefault="00673BE1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81C81" wp14:editId="016A5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0398C4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Terms of Reference: Building an ASVET CoBP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7B" w:rsidRDefault="00D16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E1" w:rsidRDefault="00673BE1" w:rsidP="007D505C">
      <w:pPr>
        <w:spacing w:after="0" w:line="240" w:lineRule="auto"/>
      </w:pPr>
      <w:r>
        <w:separator/>
      </w:r>
    </w:p>
  </w:footnote>
  <w:footnote w:type="continuationSeparator" w:id="0">
    <w:p w:rsidR="00673BE1" w:rsidRDefault="00673BE1" w:rsidP="007D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7B" w:rsidRDefault="00D16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E1" w:rsidRDefault="00673BE1" w:rsidP="00222395">
    <w:pPr>
      <w:pStyle w:val="Header"/>
      <w:jc w:val="center"/>
    </w:pPr>
    <w:r>
      <w:rPr>
        <w:noProof/>
      </w:rPr>
      <w:drawing>
        <wp:inline distT="0" distB="0" distL="0" distR="0" wp14:anchorId="4E02FDE0" wp14:editId="63D261A0">
          <wp:extent cx="577627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06" cy="703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7B" w:rsidRDefault="00D16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DF9"/>
    <w:multiLevelType w:val="hybridMultilevel"/>
    <w:tmpl w:val="8A72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50E78"/>
    <w:multiLevelType w:val="hybridMultilevel"/>
    <w:tmpl w:val="A18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E6842"/>
    <w:multiLevelType w:val="hybridMultilevel"/>
    <w:tmpl w:val="077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C0E7E"/>
    <w:multiLevelType w:val="hybridMultilevel"/>
    <w:tmpl w:val="2FE8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DC"/>
    <w:rsid w:val="000C1BF8"/>
    <w:rsid w:val="00185A4B"/>
    <w:rsid w:val="001D2B9F"/>
    <w:rsid w:val="00222395"/>
    <w:rsid w:val="00274E37"/>
    <w:rsid w:val="00462D0C"/>
    <w:rsid w:val="00605A69"/>
    <w:rsid w:val="00673BE1"/>
    <w:rsid w:val="007D505C"/>
    <w:rsid w:val="00867AD2"/>
    <w:rsid w:val="0098784A"/>
    <w:rsid w:val="009E04CA"/>
    <w:rsid w:val="00A16C24"/>
    <w:rsid w:val="00B401CB"/>
    <w:rsid w:val="00CF0E14"/>
    <w:rsid w:val="00D16B7B"/>
    <w:rsid w:val="00D81065"/>
    <w:rsid w:val="00E802DC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DC"/>
    <w:pPr>
      <w:ind w:left="720"/>
      <w:contextualSpacing/>
    </w:pPr>
  </w:style>
  <w:style w:type="table" w:styleId="TableGrid">
    <w:name w:val="Table Grid"/>
    <w:basedOn w:val="TableNormal"/>
    <w:uiPriority w:val="39"/>
    <w:rsid w:val="00FF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5C"/>
  </w:style>
  <w:style w:type="paragraph" w:styleId="Footer">
    <w:name w:val="footer"/>
    <w:basedOn w:val="Normal"/>
    <w:link w:val="FooterChar"/>
    <w:uiPriority w:val="99"/>
    <w:unhideWhenUsed/>
    <w:rsid w:val="007D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DC"/>
    <w:pPr>
      <w:ind w:left="720"/>
      <w:contextualSpacing/>
    </w:pPr>
  </w:style>
  <w:style w:type="table" w:styleId="TableGrid">
    <w:name w:val="Table Grid"/>
    <w:basedOn w:val="TableNormal"/>
    <w:uiPriority w:val="39"/>
    <w:rsid w:val="00FF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5C"/>
  </w:style>
  <w:style w:type="paragraph" w:styleId="Footer">
    <w:name w:val="footer"/>
    <w:basedOn w:val="Normal"/>
    <w:link w:val="FooterChar"/>
    <w:uiPriority w:val="99"/>
    <w:unhideWhenUsed/>
    <w:rsid w:val="007D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B978-D591-42F6-8FDA-71D014E4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2017-07-05T03:33:00Z</cp:lastPrinted>
  <dcterms:created xsi:type="dcterms:W3CDTF">2018-02-02T03:25:00Z</dcterms:created>
  <dcterms:modified xsi:type="dcterms:W3CDTF">2018-02-02T03:25:00Z</dcterms:modified>
</cp:coreProperties>
</file>